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1487" w:rsidRPr="00EC7AA4" w:rsidRDefault="004D1487" w:rsidP="004D1487">
      <w:pPr>
        <w:jc w:val="center"/>
        <w:rPr>
          <w:rFonts w:ascii="Arial" w:hAnsi="Arial" w:cs="Arial"/>
          <w:b/>
          <w:smallCaps/>
          <w:sz w:val="20"/>
          <w:szCs w:val="20"/>
        </w:rPr>
      </w:pPr>
      <w:r w:rsidRPr="00EC7AA4">
        <w:rPr>
          <w:rFonts w:ascii="Arial" w:hAnsi="Arial" w:cs="Arial"/>
          <w:b/>
          <w:smallCaps/>
          <w:sz w:val="20"/>
          <w:szCs w:val="20"/>
          <w:u w:val="single"/>
        </w:rPr>
        <w:t>Education Law and LGBT Concerns</w:t>
      </w:r>
    </w:p>
    <w:p w:rsidR="007A0101" w:rsidRPr="00EC7AA4" w:rsidRDefault="009227F4" w:rsidP="007A0101">
      <w:pPr>
        <w:jc w:val="center"/>
        <w:rPr>
          <w:rFonts w:ascii="Arial" w:hAnsi="Arial" w:cs="Arial"/>
          <w:sz w:val="20"/>
          <w:szCs w:val="20"/>
        </w:rPr>
      </w:pPr>
      <w:r w:rsidRPr="00EC7AA4">
        <w:rPr>
          <w:rFonts w:ascii="Arial" w:hAnsi="Arial" w:cs="Arial"/>
          <w:sz w:val="20"/>
          <w:szCs w:val="20"/>
        </w:rPr>
        <w:t xml:space="preserve"> </w:t>
      </w:r>
      <w:r w:rsidR="007A0101" w:rsidRPr="00EC7AA4">
        <w:rPr>
          <w:rFonts w:ascii="Arial" w:hAnsi="Arial" w:cs="Arial"/>
          <w:sz w:val="20"/>
          <w:szCs w:val="20"/>
        </w:rPr>
        <w:t>Judy Chiasson</w:t>
      </w:r>
      <w:r w:rsidR="00E81B9F" w:rsidRPr="00EC7AA4">
        <w:rPr>
          <w:rFonts w:ascii="Arial" w:hAnsi="Arial" w:cs="Arial"/>
          <w:sz w:val="20"/>
          <w:szCs w:val="20"/>
        </w:rPr>
        <w:t xml:space="preserve">, </w:t>
      </w:r>
      <w:r w:rsidR="005B72FB" w:rsidRPr="00EC7AA4">
        <w:rPr>
          <w:rFonts w:ascii="Arial" w:hAnsi="Arial" w:cs="Arial"/>
          <w:sz w:val="20"/>
          <w:szCs w:val="20"/>
        </w:rPr>
        <w:t>Ph.D.</w:t>
      </w:r>
    </w:p>
    <w:p w:rsidR="004D1487" w:rsidRPr="00EC7AA4" w:rsidRDefault="004D1487" w:rsidP="004D1487">
      <w:pPr>
        <w:jc w:val="both"/>
        <w:rPr>
          <w:rFonts w:ascii="Arial" w:hAnsi="Arial" w:cs="Arial"/>
          <w:i/>
          <w:sz w:val="20"/>
          <w:szCs w:val="20"/>
        </w:rPr>
      </w:pPr>
    </w:p>
    <w:p w:rsidR="000F232D" w:rsidRPr="00EC7AA4" w:rsidRDefault="004D1487" w:rsidP="000F232D">
      <w:pPr>
        <w:jc w:val="center"/>
        <w:rPr>
          <w:rFonts w:ascii="Arial" w:hAnsi="Arial" w:cs="Arial"/>
          <w:i/>
          <w:sz w:val="20"/>
          <w:szCs w:val="20"/>
        </w:rPr>
      </w:pPr>
      <w:r w:rsidRPr="00EC7AA4">
        <w:rPr>
          <w:rFonts w:ascii="Arial" w:hAnsi="Arial" w:cs="Arial"/>
          <w:i/>
          <w:sz w:val="20"/>
          <w:szCs w:val="20"/>
        </w:rPr>
        <w:t>This</w:t>
      </w:r>
      <w:r w:rsidR="00FC201D" w:rsidRPr="00EC7AA4">
        <w:rPr>
          <w:rFonts w:ascii="Arial" w:hAnsi="Arial" w:cs="Arial"/>
          <w:i/>
          <w:sz w:val="20"/>
          <w:szCs w:val="20"/>
        </w:rPr>
        <w:t xml:space="preserve"> document</w:t>
      </w:r>
      <w:r w:rsidRPr="00EC7AA4">
        <w:rPr>
          <w:rFonts w:ascii="Arial" w:hAnsi="Arial" w:cs="Arial"/>
          <w:i/>
          <w:sz w:val="20"/>
          <w:szCs w:val="20"/>
        </w:rPr>
        <w:t xml:space="preserve"> highlights t</w:t>
      </w:r>
      <w:r w:rsidR="00FC201D" w:rsidRPr="00EC7AA4">
        <w:rPr>
          <w:rFonts w:ascii="Arial" w:hAnsi="Arial" w:cs="Arial"/>
          <w:i/>
          <w:sz w:val="20"/>
          <w:szCs w:val="20"/>
        </w:rPr>
        <w:t xml:space="preserve">he rights of </w:t>
      </w:r>
      <w:r w:rsidR="000F232D" w:rsidRPr="00EC7AA4">
        <w:rPr>
          <w:rFonts w:ascii="Arial" w:hAnsi="Arial" w:cs="Arial"/>
          <w:i/>
          <w:sz w:val="20"/>
          <w:szCs w:val="20"/>
        </w:rPr>
        <w:t xml:space="preserve">LGBTQ </w:t>
      </w:r>
      <w:r w:rsidR="00FC201D" w:rsidRPr="00EC7AA4">
        <w:rPr>
          <w:rFonts w:ascii="Arial" w:hAnsi="Arial" w:cs="Arial"/>
          <w:i/>
          <w:sz w:val="20"/>
          <w:szCs w:val="20"/>
        </w:rPr>
        <w:t xml:space="preserve">students. </w:t>
      </w:r>
    </w:p>
    <w:p w:rsidR="00BD564A" w:rsidRPr="00EC7AA4" w:rsidRDefault="004D1487" w:rsidP="000F232D">
      <w:pPr>
        <w:jc w:val="center"/>
        <w:rPr>
          <w:rFonts w:ascii="Arial" w:hAnsi="Arial" w:cs="Arial"/>
          <w:sz w:val="20"/>
          <w:szCs w:val="20"/>
        </w:rPr>
      </w:pPr>
      <w:r w:rsidRPr="00EC7AA4">
        <w:rPr>
          <w:rFonts w:ascii="Arial" w:hAnsi="Arial" w:cs="Arial"/>
          <w:i/>
          <w:sz w:val="20"/>
          <w:szCs w:val="20"/>
        </w:rPr>
        <w:t>LGBT adults have similar guarantees in employment</w:t>
      </w:r>
      <w:r w:rsidRPr="00EC7AA4">
        <w:rPr>
          <w:rFonts w:ascii="Arial" w:hAnsi="Arial" w:cs="Arial"/>
          <w:sz w:val="20"/>
          <w:szCs w:val="20"/>
        </w:rPr>
        <w:t>.</w:t>
      </w:r>
      <w:r w:rsidR="009227F4" w:rsidRPr="00EC7AA4">
        <w:rPr>
          <w:rFonts w:ascii="Arial" w:hAnsi="Arial" w:cs="Arial"/>
          <w:sz w:val="20"/>
          <w:szCs w:val="20"/>
        </w:rPr>
        <w:t xml:space="preserve">  </w:t>
      </w:r>
    </w:p>
    <w:p w:rsidR="00BD564A" w:rsidRPr="00EC7AA4" w:rsidRDefault="00BD564A" w:rsidP="004D1487">
      <w:pPr>
        <w:jc w:val="both"/>
        <w:rPr>
          <w:rFonts w:ascii="Arial" w:hAnsi="Arial" w:cs="Arial"/>
          <w:sz w:val="20"/>
          <w:szCs w:val="20"/>
        </w:rPr>
      </w:pPr>
    </w:p>
    <w:p w:rsidR="002E2944" w:rsidRPr="00EC7AA4" w:rsidRDefault="002E2944" w:rsidP="00927146">
      <w:pPr>
        <w:spacing w:before="120" w:after="120"/>
        <w:jc w:val="both"/>
        <w:rPr>
          <w:rFonts w:ascii="Arial" w:hAnsi="Arial" w:cs="Arial"/>
          <w:sz w:val="20"/>
          <w:szCs w:val="20"/>
        </w:rPr>
      </w:pPr>
      <w:r w:rsidRPr="00EC7AA4">
        <w:rPr>
          <w:rFonts w:ascii="Arial" w:hAnsi="Arial" w:cs="Arial"/>
          <w:b/>
          <w:sz w:val="20"/>
          <w:szCs w:val="20"/>
          <w:u w:val="single"/>
        </w:rPr>
        <w:t>Gay, lesbian, bisexual, and transgender students are entitled to a</w:t>
      </w:r>
      <w:r w:rsidR="00553510" w:rsidRPr="00EC7AA4">
        <w:rPr>
          <w:rFonts w:ascii="Arial" w:hAnsi="Arial" w:cs="Arial"/>
          <w:b/>
          <w:sz w:val="20"/>
          <w:szCs w:val="20"/>
          <w:u w:val="single"/>
        </w:rPr>
        <w:t xml:space="preserve"> learning environment that is </w:t>
      </w:r>
      <w:r w:rsidRPr="00EC7AA4">
        <w:rPr>
          <w:rFonts w:ascii="Arial" w:hAnsi="Arial" w:cs="Arial"/>
          <w:b/>
          <w:sz w:val="20"/>
          <w:szCs w:val="20"/>
          <w:u w:val="single"/>
        </w:rPr>
        <w:t xml:space="preserve">safe </w:t>
      </w:r>
      <w:r w:rsidR="00553510" w:rsidRPr="00EC7AA4">
        <w:rPr>
          <w:rFonts w:ascii="Arial" w:hAnsi="Arial" w:cs="Arial"/>
          <w:b/>
          <w:sz w:val="20"/>
          <w:szCs w:val="20"/>
          <w:u w:val="single"/>
        </w:rPr>
        <w:t>and free of</w:t>
      </w:r>
      <w:r w:rsidRPr="00EC7AA4">
        <w:rPr>
          <w:rFonts w:ascii="Arial" w:hAnsi="Arial" w:cs="Arial"/>
          <w:b/>
          <w:sz w:val="20"/>
          <w:szCs w:val="20"/>
          <w:u w:val="single"/>
        </w:rPr>
        <w:t xml:space="preserve"> harassment, violence and hostility</w:t>
      </w:r>
      <w:r w:rsidR="00587E06">
        <w:rPr>
          <w:rFonts w:ascii="Arial" w:hAnsi="Arial" w:cs="Arial"/>
          <w:sz w:val="20"/>
          <w:szCs w:val="20"/>
        </w:rPr>
        <w:t xml:space="preserve">. Numerous laws </w:t>
      </w:r>
      <w:r w:rsidRPr="00EC7AA4">
        <w:rPr>
          <w:rFonts w:ascii="Arial" w:hAnsi="Arial" w:cs="Arial"/>
          <w:sz w:val="20"/>
          <w:szCs w:val="20"/>
        </w:rPr>
        <w:t xml:space="preserve">guarantee this right.  Though it is not necessary to know the stipulations called for in each law, it may be helpful to know their overarching influence. </w:t>
      </w:r>
      <w:r w:rsidR="001A4746" w:rsidRPr="00EC7AA4">
        <w:rPr>
          <w:rFonts w:ascii="Arial" w:hAnsi="Arial" w:cs="Arial"/>
          <w:sz w:val="20"/>
          <w:szCs w:val="20"/>
        </w:rPr>
        <w:t xml:space="preserve">Because schools are trusted with the well-being of the students, </w:t>
      </w:r>
      <w:r w:rsidR="007E74CC" w:rsidRPr="00EC7AA4">
        <w:rPr>
          <w:rFonts w:ascii="Arial" w:hAnsi="Arial" w:cs="Arial"/>
          <w:sz w:val="20"/>
          <w:szCs w:val="20"/>
        </w:rPr>
        <w:t xml:space="preserve">we </w:t>
      </w:r>
      <w:r w:rsidR="00587E06">
        <w:rPr>
          <w:rFonts w:ascii="Arial" w:hAnsi="Arial" w:cs="Arial"/>
          <w:sz w:val="20"/>
          <w:szCs w:val="20"/>
        </w:rPr>
        <w:t>are mandated to ensure students’</w:t>
      </w:r>
      <w:r w:rsidR="001A4746" w:rsidRPr="00EC7AA4">
        <w:rPr>
          <w:rFonts w:ascii="Arial" w:hAnsi="Arial" w:cs="Arial"/>
          <w:sz w:val="20"/>
          <w:szCs w:val="20"/>
        </w:rPr>
        <w:t xml:space="preserve"> safety on campus. </w:t>
      </w:r>
    </w:p>
    <w:p w:rsidR="00126C66" w:rsidRPr="00EC7AA4" w:rsidRDefault="002E2944" w:rsidP="00927146">
      <w:pPr>
        <w:spacing w:before="120" w:after="120"/>
        <w:jc w:val="both"/>
        <w:rPr>
          <w:rFonts w:ascii="Arial" w:hAnsi="Arial" w:cs="Arial"/>
          <w:sz w:val="20"/>
          <w:szCs w:val="20"/>
        </w:rPr>
      </w:pPr>
      <w:r w:rsidRPr="00EC7AA4">
        <w:rPr>
          <w:rFonts w:ascii="Arial" w:hAnsi="Arial" w:cs="Arial"/>
          <w:b/>
          <w:sz w:val="20"/>
          <w:szCs w:val="20"/>
          <w:u w:val="single"/>
        </w:rPr>
        <w:t>Title IX forbids discrimination based on gender</w:t>
      </w:r>
      <w:r w:rsidRPr="00EC7AA4">
        <w:rPr>
          <w:rFonts w:ascii="Arial" w:hAnsi="Arial" w:cs="Arial"/>
          <w:sz w:val="20"/>
          <w:szCs w:val="20"/>
        </w:rPr>
        <w:t>.</w:t>
      </w:r>
      <w:r w:rsidR="001A4746" w:rsidRPr="00EC7AA4">
        <w:rPr>
          <w:rFonts w:ascii="Arial" w:hAnsi="Arial" w:cs="Arial"/>
          <w:sz w:val="20"/>
          <w:szCs w:val="20"/>
        </w:rPr>
        <w:t xml:space="preserve"> </w:t>
      </w:r>
      <w:r w:rsidRPr="00EC7AA4">
        <w:rPr>
          <w:rFonts w:ascii="Arial" w:hAnsi="Arial" w:cs="Arial"/>
          <w:sz w:val="20"/>
          <w:szCs w:val="20"/>
        </w:rPr>
        <w:t xml:space="preserve"> </w:t>
      </w:r>
      <w:r w:rsidR="001A4746" w:rsidRPr="00EC7AA4">
        <w:rPr>
          <w:rFonts w:ascii="Arial" w:hAnsi="Arial" w:cs="Arial"/>
          <w:sz w:val="20"/>
          <w:szCs w:val="20"/>
          <w:u w:val="single"/>
        </w:rPr>
        <w:t>Nabozny v. Podlesny</w:t>
      </w:r>
      <w:r w:rsidR="001A4746" w:rsidRPr="00EC7AA4">
        <w:rPr>
          <w:rFonts w:ascii="Arial" w:hAnsi="Arial" w:cs="Arial"/>
          <w:sz w:val="20"/>
          <w:szCs w:val="20"/>
        </w:rPr>
        <w:t xml:space="preserve"> was the 1996 landmark case where the courts fined the schools $900,000 </w:t>
      </w:r>
      <w:r w:rsidR="00180169" w:rsidRPr="00EC7AA4">
        <w:rPr>
          <w:rFonts w:ascii="Arial" w:hAnsi="Arial" w:cs="Arial"/>
          <w:sz w:val="20"/>
          <w:szCs w:val="20"/>
        </w:rPr>
        <w:t>for deliberate indifference towa</w:t>
      </w:r>
      <w:r w:rsidR="00FC201D" w:rsidRPr="00EC7AA4">
        <w:rPr>
          <w:rFonts w:ascii="Arial" w:hAnsi="Arial" w:cs="Arial"/>
          <w:sz w:val="20"/>
          <w:szCs w:val="20"/>
        </w:rPr>
        <w:t>rd the brutalization the student plaintiff</w:t>
      </w:r>
      <w:r w:rsidR="00180169" w:rsidRPr="00EC7AA4">
        <w:rPr>
          <w:rFonts w:ascii="Arial" w:hAnsi="Arial" w:cs="Arial"/>
          <w:sz w:val="20"/>
          <w:szCs w:val="20"/>
        </w:rPr>
        <w:t xml:space="preserve"> received at the hands of his peers.  Since then, numerous lawsuits have been won by youth who were harassed, bullied, and injured by peers and the school did not protect them from harassment or violence.</w:t>
      </w:r>
      <w:r w:rsidR="00E71756" w:rsidRPr="00EC7AA4">
        <w:rPr>
          <w:rFonts w:ascii="Arial" w:hAnsi="Arial" w:cs="Arial"/>
          <w:sz w:val="20"/>
          <w:szCs w:val="20"/>
        </w:rPr>
        <w:t xml:space="preserve"> In the 2005 ruling of </w:t>
      </w:r>
      <w:r w:rsidR="00E71756" w:rsidRPr="00EC7AA4">
        <w:rPr>
          <w:rFonts w:ascii="Arial" w:hAnsi="Arial" w:cs="Arial"/>
          <w:sz w:val="20"/>
          <w:szCs w:val="20"/>
          <w:u w:val="single"/>
        </w:rPr>
        <w:t>Theno v. Tonganoxie Unified School District</w:t>
      </w:r>
      <w:r w:rsidR="00E71756" w:rsidRPr="00EC7AA4">
        <w:rPr>
          <w:rFonts w:ascii="Arial" w:hAnsi="Arial" w:cs="Arial"/>
          <w:sz w:val="20"/>
          <w:szCs w:val="20"/>
        </w:rPr>
        <w:t>, the court awarded the plaintiff $440,000 because his school district failed to halt the anti-gay harassment. The fact that Theno was heterosexual was immaterial because the</w:t>
      </w:r>
      <w:r w:rsidR="00E71756" w:rsidRPr="00EC7AA4">
        <w:rPr>
          <w:rFonts w:ascii="Arial" w:hAnsi="Arial" w:cs="Arial"/>
          <w:i/>
          <w:sz w:val="20"/>
          <w:szCs w:val="20"/>
        </w:rPr>
        <w:t xml:space="preserve"> intent</w:t>
      </w:r>
      <w:r w:rsidR="00E71756" w:rsidRPr="00EC7AA4">
        <w:rPr>
          <w:rFonts w:ascii="Arial" w:hAnsi="Arial" w:cs="Arial"/>
          <w:sz w:val="20"/>
          <w:szCs w:val="20"/>
        </w:rPr>
        <w:t xml:space="preserve"> of </w:t>
      </w:r>
      <w:r w:rsidR="0061772D" w:rsidRPr="00EC7AA4">
        <w:rPr>
          <w:rFonts w:ascii="Arial" w:hAnsi="Arial" w:cs="Arial"/>
          <w:sz w:val="20"/>
          <w:szCs w:val="20"/>
        </w:rPr>
        <w:t xml:space="preserve">the harassment was anti-gay.   </w:t>
      </w:r>
    </w:p>
    <w:p w:rsidR="002E2944" w:rsidRPr="00EC7AA4" w:rsidRDefault="00126C66" w:rsidP="00927146">
      <w:pPr>
        <w:spacing w:before="120" w:after="120"/>
        <w:jc w:val="both"/>
        <w:rPr>
          <w:rFonts w:ascii="Arial" w:hAnsi="Arial" w:cs="Arial"/>
          <w:sz w:val="20"/>
          <w:szCs w:val="20"/>
        </w:rPr>
      </w:pPr>
      <w:r w:rsidRPr="00EC7AA4">
        <w:rPr>
          <w:rFonts w:ascii="Arial" w:hAnsi="Arial" w:cs="Arial"/>
          <w:b/>
          <w:sz w:val="20"/>
          <w:szCs w:val="20"/>
          <w:u w:val="single"/>
        </w:rPr>
        <w:t xml:space="preserve">Title IX </w:t>
      </w:r>
      <w:r w:rsidR="00AE1016" w:rsidRPr="00EC7AA4">
        <w:rPr>
          <w:rFonts w:ascii="Arial" w:hAnsi="Arial" w:cs="Arial"/>
          <w:b/>
          <w:sz w:val="20"/>
          <w:szCs w:val="20"/>
          <w:u w:val="single"/>
        </w:rPr>
        <w:t>requires that all rules</w:t>
      </w:r>
      <w:r w:rsidR="00BD564A" w:rsidRPr="00EC7AA4">
        <w:rPr>
          <w:rFonts w:ascii="Arial" w:hAnsi="Arial" w:cs="Arial"/>
          <w:b/>
          <w:sz w:val="20"/>
          <w:szCs w:val="20"/>
          <w:u w:val="single"/>
        </w:rPr>
        <w:t xml:space="preserve"> and activities on campuses be</w:t>
      </w:r>
      <w:r w:rsidR="00AE1016" w:rsidRPr="00EC7AA4">
        <w:rPr>
          <w:rFonts w:ascii="Arial" w:hAnsi="Arial" w:cs="Arial"/>
          <w:b/>
          <w:sz w:val="20"/>
          <w:szCs w:val="20"/>
          <w:u w:val="single"/>
        </w:rPr>
        <w:t xml:space="preserve"> gender-neutral.</w:t>
      </w:r>
      <w:r w:rsidR="00587E06">
        <w:rPr>
          <w:rFonts w:ascii="Arial" w:hAnsi="Arial" w:cs="Arial"/>
          <w:sz w:val="20"/>
          <w:szCs w:val="20"/>
        </w:rPr>
        <w:t xml:space="preserve"> Thus if the dress code</w:t>
      </w:r>
      <w:r w:rsidR="00AE1016" w:rsidRPr="00EC7AA4">
        <w:rPr>
          <w:rFonts w:ascii="Arial" w:hAnsi="Arial" w:cs="Arial"/>
          <w:sz w:val="20"/>
          <w:szCs w:val="20"/>
        </w:rPr>
        <w:t xml:space="preserve"> allows girls to wear make-up, skirts and heels, but requires them to cover their midriff, the same </w:t>
      </w:r>
      <w:r w:rsidR="009227F4" w:rsidRPr="00EC7AA4">
        <w:rPr>
          <w:rFonts w:ascii="Arial" w:hAnsi="Arial" w:cs="Arial"/>
          <w:sz w:val="20"/>
          <w:szCs w:val="20"/>
        </w:rPr>
        <w:t>rule applies</w:t>
      </w:r>
      <w:r w:rsidR="00AE1016" w:rsidRPr="00EC7AA4">
        <w:rPr>
          <w:rFonts w:ascii="Arial" w:hAnsi="Arial" w:cs="Arial"/>
          <w:sz w:val="20"/>
          <w:szCs w:val="20"/>
        </w:rPr>
        <w:t xml:space="preserve"> to the boys.  </w:t>
      </w:r>
      <w:r w:rsidR="009D37A9" w:rsidRPr="00EC7AA4">
        <w:rPr>
          <w:rFonts w:ascii="Arial" w:hAnsi="Arial" w:cs="Arial"/>
          <w:sz w:val="20"/>
          <w:szCs w:val="20"/>
        </w:rPr>
        <w:t>Care should be taken that scho</w:t>
      </w:r>
      <w:r w:rsidR="00FC201D" w:rsidRPr="00EC7AA4">
        <w:rPr>
          <w:rFonts w:ascii="Arial" w:hAnsi="Arial" w:cs="Arial"/>
          <w:sz w:val="20"/>
          <w:szCs w:val="20"/>
        </w:rPr>
        <w:t xml:space="preserve">ols enforce rules and policies </w:t>
      </w:r>
      <w:r w:rsidR="00BD564A" w:rsidRPr="00EC7AA4">
        <w:rPr>
          <w:rFonts w:ascii="Arial" w:hAnsi="Arial" w:cs="Arial"/>
          <w:sz w:val="20"/>
          <w:szCs w:val="20"/>
        </w:rPr>
        <w:t>consistently. It would be discriminatory if</w:t>
      </w:r>
      <w:r w:rsidR="009D37A9" w:rsidRPr="00EC7AA4">
        <w:rPr>
          <w:rFonts w:ascii="Arial" w:hAnsi="Arial" w:cs="Arial"/>
          <w:sz w:val="20"/>
          <w:szCs w:val="20"/>
        </w:rPr>
        <w:t xml:space="preserve"> a parti</w:t>
      </w:r>
      <w:r w:rsidR="007E74CC" w:rsidRPr="00EC7AA4">
        <w:rPr>
          <w:rFonts w:ascii="Arial" w:hAnsi="Arial" w:cs="Arial"/>
          <w:sz w:val="20"/>
          <w:szCs w:val="20"/>
        </w:rPr>
        <w:t xml:space="preserve">cular rule (e.g., </w:t>
      </w:r>
      <w:r w:rsidR="009227F4" w:rsidRPr="00EC7AA4">
        <w:rPr>
          <w:rFonts w:ascii="Arial" w:hAnsi="Arial" w:cs="Arial"/>
          <w:sz w:val="20"/>
          <w:szCs w:val="20"/>
        </w:rPr>
        <w:t xml:space="preserve">no </w:t>
      </w:r>
      <w:r w:rsidR="00BD564A" w:rsidRPr="00EC7AA4">
        <w:rPr>
          <w:rFonts w:ascii="Arial" w:hAnsi="Arial" w:cs="Arial"/>
          <w:sz w:val="20"/>
          <w:szCs w:val="20"/>
        </w:rPr>
        <w:t>kissing) was</w:t>
      </w:r>
      <w:r w:rsidR="009D37A9" w:rsidRPr="00EC7AA4">
        <w:rPr>
          <w:rFonts w:ascii="Arial" w:hAnsi="Arial" w:cs="Arial"/>
          <w:sz w:val="20"/>
          <w:szCs w:val="20"/>
        </w:rPr>
        <w:t xml:space="preserve"> differenti</w:t>
      </w:r>
      <w:r w:rsidR="00587E06">
        <w:rPr>
          <w:rFonts w:ascii="Arial" w:hAnsi="Arial" w:cs="Arial"/>
          <w:sz w:val="20"/>
          <w:szCs w:val="20"/>
        </w:rPr>
        <w:t xml:space="preserve">ally enforced.  </w:t>
      </w:r>
    </w:p>
    <w:p w:rsidR="00BD564A" w:rsidRPr="00EC7AA4" w:rsidRDefault="002E2944" w:rsidP="00927146">
      <w:pPr>
        <w:spacing w:before="120" w:after="120"/>
        <w:jc w:val="both"/>
        <w:rPr>
          <w:rFonts w:ascii="Arial" w:hAnsi="Arial" w:cs="Arial"/>
          <w:sz w:val="20"/>
          <w:szCs w:val="20"/>
        </w:rPr>
      </w:pPr>
      <w:r w:rsidRPr="00EC7AA4">
        <w:rPr>
          <w:rFonts w:ascii="Arial" w:hAnsi="Arial" w:cs="Arial"/>
          <w:b/>
          <w:sz w:val="20"/>
          <w:szCs w:val="20"/>
          <w:u w:val="single"/>
        </w:rPr>
        <w:t xml:space="preserve">The 2000 </w:t>
      </w:r>
      <w:smartTag w:uri="urn:schemas-microsoft-com:office:smarttags" w:element="State">
        <w:r w:rsidRPr="00EC7AA4">
          <w:rPr>
            <w:rFonts w:ascii="Arial" w:hAnsi="Arial" w:cs="Arial"/>
            <w:b/>
            <w:sz w:val="20"/>
            <w:szCs w:val="20"/>
            <w:u w:val="single"/>
          </w:rPr>
          <w:t>California</w:t>
        </w:r>
      </w:smartTag>
      <w:r w:rsidRPr="00EC7AA4">
        <w:rPr>
          <w:rFonts w:ascii="Arial" w:hAnsi="Arial" w:cs="Arial"/>
          <w:b/>
          <w:sz w:val="20"/>
          <w:szCs w:val="20"/>
          <w:u w:val="single"/>
        </w:rPr>
        <w:t xml:space="preserve"> Safe and </w:t>
      </w:r>
      <w:smartTag w:uri="urn:schemas-microsoft-com:office:smarttags" w:element="place">
        <w:smartTag w:uri="urn:schemas-microsoft-com:office:smarttags" w:element="PlaceName">
          <w:r w:rsidRPr="00EC7AA4">
            <w:rPr>
              <w:rFonts w:ascii="Arial" w:hAnsi="Arial" w:cs="Arial"/>
              <w:b/>
              <w:sz w:val="20"/>
              <w:szCs w:val="20"/>
              <w:u w:val="single"/>
            </w:rPr>
            <w:t>Violence</w:t>
          </w:r>
        </w:smartTag>
        <w:r w:rsidRPr="00EC7AA4">
          <w:rPr>
            <w:rFonts w:ascii="Arial" w:hAnsi="Arial" w:cs="Arial"/>
            <w:b/>
            <w:sz w:val="20"/>
            <w:szCs w:val="20"/>
            <w:u w:val="single"/>
          </w:rPr>
          <w:t xml:space="preserve"> </w:t>
        </w:r>
        <w:smartTag w:uri="urn:schemas-microsoft-com:office:smarttags" w:element="PlaceName">
          <w:r w:rsidRPr="00EC7AA4">
            <w:rPr>
              <w:rFonts w:ascii="Arial" w:hAnsi="Arial" w:cs="Arial"/>
              <w:b/>
              <w:sz w:val="20"/>
              <w:szCs w:val="20"/>
              <w:u w:val="single"/>
            </w:rPr>
            <w:t>Free</w:t>
          </w:r>
        </w:smartTag>
        <w:r w:rsidRPr="00EC7AA4">
          <w:rPr>
            <w:rFonts w:ascii="Arial" w:hAnsi="Arial" w:cs="Arial"/>
            <w:b/>
            <w:sz w:val="20"/>
            <w:szCs w:val="20"/>
            <w:u w:val="single"/>
          </w:rPr>
          <w:t xml:space="preserve"> </w:t>
        </w:r>
        <w:smartTag w:uri="urn:schemas-microsoft-com:office:smarttags" w:element="PlaceType">
          <w:r w:rsidRPr="00EC7AA4">
            <w:rPr>
              <w:rFonts w:ascii="Arial" w:hAnsi="Arial" w:cs="Arial"/>
              <w:b/>
              <w:sz w:val="20"/>
              <w:szCs w:val="20"/>
              <w:u w:val="single"/>
            </w:rPr>
            <w:t>Schools</w:t>
          </w:r>
        </w:smartTag>
      </w:smartTag>
      <w:r w:rsidRPr="00EC7AA4">
        <w:rPr>
          <w:rFonts w:ascii="Arial" w:hAnsi="Arial" w:cs="Arial"/>
          <w:b/>
          <w:sz w:val="20"/>
          <w:szCs w:val="20"/>
          <w:u w:val="single"/>
        </w:rPr>
        <w:t xml:space="preserve"> (AB537)</w:t>
      </w:r>
      <w:r w:rsidR="009D37A9" w:rsidRPr="00EC7AA4">
        <w:rPr>
          <w:rFonts w:ascii="Arial" w:hAnsi="Arial" w:cs="Arial"/>
          <w:b/>
          <w:sz w:val="20"/>
          <w:szCs w:val="20"/>
          <w:u w:val="single"/>
        </w:rPr>
        <w:t xml:space="preserve"> has</w:t>
      </w:r>
      <w:r w:rsidR="00180169" w:rsidRPr="00EC7AA4">
        <w:rPr>
          <w:rFonts w:ascii="Arial" w:hAnsi="Arial" w:cs="Arial"/>
          <w:b/>
          <w:sz w:val="20"/>
          <w:szCs w:val="20"/>
          <w:u w:val="single"/>
        </w:rPr>
        <w:t xml:space="preserve"> two important</w:t>
      </w:r>
      <w:r w:rsidRPr="00EC7AA4">
        <w:rPr>
          <w:rFonts w:ascii="Arial" w:hAnsi="Arial" w:cs="Arial"/>
          <w:b/>
          <w:sz w:val="20"/>
          <w:szCs w:val="20"/>
          <w:u w:val="single"/>
        </w:rPr>
        <w:t xml:space="preserve"> clauses that affect our schools</w:t>
      </w:r>
      <w:r w:rsidR="00180169" w:rsidRPr="00EC7AA4">
        <w:rPr>
          <w:rFonts w:ascii="Arial" w:hAnsi="Arial" w:cs="Arial"/>
          <w:b/>
          <w:sz w:val="20"/>
          <w:szCs w:val="20"/>
        </w:rPr>
        <w:t>.</w:t>
      </w:r>
      <w:r w:rsidR="00180169" w:rsidRPr="00EC7AA4">
        <w:rPr>
          <w:rFonts w:ascii="Arial" w:hAnsi="Arial" w:cs="Arial"/>
          <w:sz w:val="20"/>
          <w:szCs w:val="20"/>
        </w:rPr>
        <w:t xml:space="preserve"> </w:t>
      </w:r>
      <w:r w:rsidRPr="00EC7AA4">
        <w:rPr>
          <w:rFonts w:ascii="Arial" w:hAnsi="Arial" w:cs="Arial"/>
          <w:sz w:val="20"/>
          <w:szCs w:val="20"/>
        </w:rPr>
        <w:t xml:space="preserve">It added sexual orientation and gender identity, real or presumed, to the protected </w:t>
      </w:r>
      <w:r w:rsidR="00180169" w:rsidRPr="00EC7AA4">
        <w:rPr>
          <w:rFonts w:ascii="Arial" w:hAnsi="Arial" w:cs="Arial"/>
          <w:sz w:val="20"/>
          <w:szCs w:val="20"/>
        </w:rPr>
        <w:t xml:space="preserve">categories at schools. </w:t>
      </w:r>
      <w:r w:rsidR="00126C66" w:rsidRPr="00EC7AA4">
        <w:rPr>
          <w:rFonts w:ascii="Arial" w:hAnsi="Arial" w:cs="Arial"/>
          <w:sz w:val="20"/>
          <w:szCs w:val="20"/>
        </w:rPr>
        <w:t xml:space="preserve">The “real or presumed” means that if a student is the target of anti-gay harassment, it is immaterial whether he/she is in fact gay.  </w:t>
      </w:r>
      <w:r w:rsidR="00553510" w:rsidRPr="00EC7AA4">
        <w:rPr>
          <w:rFonts w:ascii="Arial" w:hAnsi="Arial" w:cs="Arial"/>
          <w:sz w:val="20"/>
          <w:szCs w:val="20"/>
        </w:rPr>
        <w:t xml:space="preserve">Under privacy rights, school staff may not ask, and certainly cannot disclose, that information. </w:t>
      </w:r>
      <w:r w:rsidR="00126C66" w:rsidRPr="00EC7AA4">
        <w:rPr>
          <w:rFonts w:ascii="Arial" w:hAnsi="Arial" w:cs="Arial"/>
          <w:sz w:val="20"/>
          <w:szCs w:val="20"/>
        </w:rPr>
        <w:t xml:space="preserve">AB537 also </w:t>
      </w:r>
      <w:r w:rsidR="007E74CC" w:rsidRPr="00EC7AA4">
        <w:rPr>
          <w:rFonts w:ascii="Arial" w:hAnsi="Arial" w:cs="Arial"/>
          <w:sz w:val="20"/>
          <w:szCs w:val="20"/>
        </w:rPr>
        <w:t xml:space="preserve">stipulated </w:t>
      </w:r>
      <w:r w:rsidR="00180169" w:rsidRPr="00EC7AA4">
        <w:rPr>
          <w:rFonts w:ascii="Arial" w:hAnsi="Arial" w:cs="Arial"/>
          <w:sz w:val="20"/>
          <w:szCs w:val="20"/>
        </w:rPr>
        <w:t xml:space="preserve">that all school personnel are personally obligated to intervene in cases of harassment. </w:t>
      </w:r>
      <w:r w:rsidR="00553510" w:rsidRPr="00EC7AA4">
        <w:rPr>
          <w:rFonts w:ascii="Arial" w:hAnsi="Arial" w:cs="Arial"/>
          <w:sz w:val="20"/>
          <w:szCs w:val="20"/>
        </w:rPr>
        <w:t xml:space="preserve">Thus, a teacher who is deliberately indifferent to the plight of a student who is being harassed is not protected by the corporate shield of the school districts. </w:t>
      </w:r>
      <w:r w:rsidR="00180169" w:rsidRPr="00EC7AA4">
        <w:rPr>
          <w:rFonts w:ascii="Arial" w:hAnsi="Arial" w:cs="Arial"/>
          <w:sz w:val="20"/>
          <w:szCs w:val="20"/>
        </w:rPr>
        <w:t xml:space="preserve">It is important </w:t>
      </w:r>
      <w:r w:rsidR="00587E06">
        <w:rPr>
          <w:rFonts w:ascii="Arial" w:hAnsi="Arial" w:cs="Arial"/>
          <w:sz w:val="20"/>
          <w:szCs w:val="20"/>
        </w:rPr>
        <w:t>that all</w:t>
      </w:r>
      <w:r w:rsidR="00FC201D" w:rsidRPr="00EC7AA4">
        <w:rPr>
          <w:rFonts w:ascii="Arial" w:hAnsi="Arial" w:cs="Arial"/>
          <w:sz w:val="20"/>
          <w:szCs w:val="20"/>
        </w:rPr>
        <w:t xml:space="preserve"> school staff</w:t>
      </w:r>
      <w:r w:rsidR="00587E06">
        <w:rPr>
          <w:rFonts w:ascii="Arial" w:hAnsi="Arial" w:cs="Arial"/>
          <w:sz w:val="20"/>
          <w:szCs w:val="20"/>
        </w:rPr>
        <w:t xml:space="preserve"> </w:t>
      </w:r>
      <w:r w:rsidR="00126C66" w:rsidRPr="00EC7AA4">
        <w:rPr>
          <w:rFonts w:ascii="Arial" w:hAnsi="Arial" w:cs="Arial"/>
          <w:sz w:val="20"/>
          <w:szCs w:val="20"/>
        </w:rPr>
        <w:t xml:space="preserve">know that they can be personally </w:t>
      </w:r>
      <w:r w:rsidR="00587E06">
        <w:rPr>
          <w:rFonts w:ascii="Arial" w:hAnsi="Arial" w:cs="Arial"/>
          <w:sz w:val="20"/>
          <w:szCs w:val="20"/>
        </w:rPr>
        <w:t xml:space="preserve">liable if they fail to advocate on behalf of targeted students. </w:t>
      </w:r>
    </w:p>
    <w:p w:rsidR="00126C66" w:rsidRPr="00EC7AA4" w:rsidRDefault="00927146" w:rsidP="00927146">
      <w:pPr>
        <w:spacing w:before="120" w:after="120"/>
        <w:jc w:val="both"/>
        <w:rPr>
          <w:rFonts w:ascii="Arial" w:hAnsi="Arial" w:cs="Arial"/>
          <w:sz w:val="20"/>
          <w:szCs w:val="20"/>
        </w:rPr>
      </w:pPr>
      <w:r w:rsidRPr="00EC7AA4">
        <w:rPr>
          <w:rFonts w:ascii="Arial" w:hAnsi="Arial" w:cs="Arial"/>
          <w:b/>
          <w:sz w:val="20"/>
          <w:szCs w:val="20"/>
          <w:u w:val="single"/>
        </w:rPr>
        <w:t xml:space="preserve">No </w:t>
      </w:r>
      <w:r w:rsidR="00BD564A" w:rsidRPr="00EC7AA4">
        <w:rPr>
          <w:rFonts w:ascii="Arial" w:hAnsi="Arial" w:cs="Arial"/>
          <w:b/>
          <w:sz w:val="20"/>
          <w:szCs w:val="20"/>
          <w:u w:val="single"/>
        </w:rPr>
        <w:t>Opt</w:t>
      </w:r>
      <w:r w:rsidR="009227F4" w:rsidRPr="00EC7AA4">
        <w:rPr>
          <w:rFonts w:ascii="Arial" w:hAnsi="Arial" w:cs="Arial"/>
          <w:b/>
          <w:sz w:val="20"/>
          <w:szCs w:val="20"/>
          <w:u w:val="single"/>
        </w:rPr>
        <w:t xml:space="preserve"> </w:t>
      </w:r>
      <w:r w:rsidR="007E74CC" w:rsidRPr="00EC7AA4">
        <w:rPr>
          <w:rFonts w:ascii="Arial" w:hAnsi="Arial" w:cs="Arial"/>
          <w:b/>
          <w:sz w:val="20"/>
          <w:szCs w:val="20"/>
          <w:u w:val="single"/>
        </w:rPr>
        <w:t>-</w:t>
      </w:r>
      <w:r w:rsidR="00BD564A" w:rsidRPr="00EC7AA4">
        <w:rPr>
          <w:rFonts w:ascii="Arial" w:hAnsi="Arial" w:cs="Arial"/>
          <w:b/>
          <w:sz w:val="20"/>
          <w:szCs w:val="20"/>
          <w:u w:val="single"/>
        </w:rPr>
        <w:t>Out Clause</w:t>
      </w:r>
      <w:r w:rsidR="00587E06">
        <w:rPr>
          <w:rFonts w:ascii="Arial" w:hAnsi="Arial" w:cs="Arial"/>
          <w:b/>
          <w:sz w:val="20"/>
          <w:szCs w:val="20"/>
          <w:u w:val="single"/>
        </w:rPr>
        <w:t xml:space="preserve"> for Diversity Education</w:t>
      </w:r>
      <w:r w:rsidR="00553510" w:rsidRPr="00EC7AA4">
        <w:rPr>
          <w:rFonts w:ascii="Arial" w:hAnsi="Arial" w:cs="Arial"/>
          <w:b/>
          <w:sz w:val="20"/>
          <w:szCs w:val="20"/>
        </w:rPr>
        <w:t>:</w:t>
      </w:r>
      <w:r w:rsidR="00BD564A" w:rsidRPr="00EC7AA4">
        <w:rPr>
          <w:rFonts w:ascii="Arial" w:hAnsi="Arial" w:cs="Arial"/>
          <w:sz w:val="20"/>
          <w:szCs w:val="20"/>
        </w:rPr>
        <w:t xml:space="preserve">  </w:t>
      </w:r>
      <w:r w:rsidR="00EC7AA4" w:rsidRPr="00EC7AA4">
        <w:rPr>
          <w:rFonts w:ascii="Arial" w:hAnsi="Arial" w:cs="Arial"/>
          <w:sz w:val="20"/>
          <w:szCs w:val="20"/>
        </w:rPr>
        <w:t xml:space="preserve">Under AB537 (and </w:t>
      </w:r>
      <w:r w:rsidR="00820909" w:rsidRPr="00EC7AA4">
        <w:rPr>
          <w:rFonts w:ascii="Arial" w:hAnsi="Arial" w:cs="Arial"/>
          <w:sz w:val="20"/>
          <w:szCs w:val="20"/>
        </w:rPr>
        <w:t>upheld by a federal ruling) parents may not opt out</w:t>
      </w:r>
      <w:r w:rsidR="00FC201D" w:rsidRPr="00EC7AA4">
        <w:rPr>
          <w:rFonts w:ascii="Arial" w:hAnsi="Arial" w:cs="Arial"/>
          <w:sz w:val="20"/>
          <w:szCs w:val="20"/>
        </w:rPr>
        <w:t xml:space="preserve"> of</w:t>
      </w:r>
      <w:r w:rsidR="00820909" w:rsidRPr="00EC7AA4">
        <w:rPr>
          <w:rFonts w:ascii="Arial" w:hAnsi="Arial" w:cs="Arial"/>
          <w:sz w:val="20"/>
          <w:szCs w:val="20"/>
        </w:rPr>
        <w:t xml:space="preserve"> LGBT diversity</w:t>
      </w:r>
      <w:r w:rsidR="00587E06">
        <w:rPr>
          <w:rFonts w:ascii="Arial" w:hAnsi="Arial" w:cs="Arial"/>
          <w:sz w:val="20"/>
          <w:szCs w:val="20"/>
        </w:rPr>
        <w:t xml:space="preserve"> education</w:t>
      </w:r>
      <w:r w:rsidR="00820909" w:rsidRPr="00EC7AA4">
        <w:rPr>
          <w:rFonts w:ascii="Arial" w:hAnsi="Arial" w:cs="Arial"/>
          <w:sz w:val="20"/>
          <w:szCs w:val="20"/>
        </w:rPr>
        <w:t xml:space="preserve">, even if their objections are religiously based.  </w:t>
      </w:r>
      <w:r w:rsidR="000308BA" w:rsidRPr="00EC7AA4">
        <w:rPr>
          <w:rFonts w:ascii="Arial" w:hAnsi="Arial" w:cs="Arial"/>
          <w:sz w:val="20"/>
          <w:szCs w:val="20"/>
        </w:rPr>
        <w:t xml:space="preserve">Parent </w:t>
      </w:r>
      <w:r w:rsidR="00EC7AA4" w:rsidRPr="00EC7AA4">
        <w:rPr>
          <w:rFonts w:ascii="Arial" w:hAnsi="Arial" w:cs="Arial"/>
          <w:sz w:val="20"/>
          <w:szCs w:val="20"/>
        </w:rPr>
        <w:t>notification</w:t>
      </w:r>
      <w:r w:rsidR="000308BA" w:rsidRPr="00EC7AA4">
        <w:rPr>
          <w:rFonts w:ascii="Arial" w:hAnsi="Arial" w:cs="Arial"/>
          <w:sz w:val="20"/>
          <w:szCs w:val="20"/>
        </w:rPr>
        <w:t xml:space="preserve"> is required to discuss </w:t>
      </w:r>
      <w:r w:rsidR="00EC6865">
        <w:rPr>
          <w:rFonts w:ascii="Arial" w:hAnsi="Arial" w:cs="Arial"/>
          <w:sz w:val="20"/>
          <w:szCs w:val="20"/>
        </w:rPr>
        <w:t xml:space="preserve">family planning </w:t>
      </w:r>
      <w:r w:rsidR="000308BA" w:rsidRPr="00EC7AA4">
        <w:rPr>
          <w:rFonts w:ascii="Arial" w:hAnsi="Arial" w:cs="Arial"/>
          <w:sz w:val="20"/>
          <w:szCs w:val="20"/>
        </w:rPr>
        <w:t xml:space="preserve">and sexually transmitted diseases </w:t>
      </w:r>
      <w:r w:rsidR="000308BA" w:rsidRPr="00EC7AA4">
        <w:rPr>
          <w:rFonts w:ascii="Arial" w:hAnsi="Arial" w:cs="Arial"/>
          <w:i/>
          <w:sz w:val="20"/>
          <w:szCs w:val="20"/>
        </w:rPr>
        <w:t>only.</w:t>
      </w:r>
      <w:r w:rsidR="000308BA" w:rsidRPr="00EC7AA4">
        <w:rPr>
          <w:rFonts w:ascii="Arial" w:hAnsi="Arial" w:cs="Arial"/>
          <w:sz w:val="20"/>
          <w:szCs w:val="20"/>
        </w:rPr>
        <w:t xml:space="preserve">  </w:t>
      </w:r>
      <w:r w:rsidR="00E71756" w:rsidRPr="00EC7AA4">
        <w:rPr>
          <w:rFonts w:ascii="Arial" w:hAnsi="Arial" w:cs="Arial"/>
          <w:sz w:val="20"/>
          <w:szCs w:val="20"/>
        </w:rPr>
        <w:t xml:space="preserve">Persons may not opt out of trainings designed to promote safety and equality for LBGT persons, even if their objections are religiously based. The focus of diversity trainings is to advocate for the safe treatment of all students, not challenge religious tenets.  </w:t>
      </w:r>
    </w:p>
    <w:p w:rsidR="00B6092F" w:rsidRPr="00EC7AA4" w:rsidRDefault="00553510" w:rsidP="00927146">
      <w:pPr>
        <w:spacing w:before="120" w:after="120"/>
        <w:jc w:val="both"/>
        <w:rPr>
          <w:rFonts w:ascii="Arial" w:hAnsi="Arial" w:cs="Arial"/>
          <w:sz w:val="20"/>
          <w:szCs w:val="20"/>
        </w:rPr>
      </w:pPr>
      <w:r w:rsidRPr="00EC7AA4">
        <w:rPr>
          <w:rFonts w:ascii="Arial" w:hAnsi="Arial" w:cs="Arial"/>
          <w:b/>
          <w:sz w:val="20"/>
          <w:szCs w:val="20"/>
          <w:u w:val="single"/>
        </w:rPr>
        <w:t>Student Right to Privacy</w:t>
      </w:r>
      <w:r w:rsidRPr="00EC7AA4">
        <w:rPr>
          <w:rFonts w:ascii="Arial" w:hAnsi="Arial" w:cs="Arial"/>
          <w:b/>
          <w:sz w:val="20"/>
          <w:szCs w:val="20"/>
        </w:rPr>
        <w:t>:</w:t>
      </w:r>
      <w:r w:rsidRPr="00EC7AA4">
        <w:rPr>
          <w:rFonts w:ascii="Arial" w:hAnsi="Arial" w:cs="Arial"/>
          <w:sz w:val="20"/>
          <w:szCs w:val="20"/>
        </w:rPr>
        <w:t xml:space="preserve"> </w:t>
      </w:r>
      <w:r w:rsidR="004D1487" w:rsidRPr="00EC7AA4">
        <w:rPr>
          <w:rFonts w:ascii="Arial" w:hAnsi="Arial" w:cs="Arial"/>
          <w:sz w:val="20"/>
          <w:szCs w:val="20"/>
        </w:rPr>
        <w:t>Students have</w:t>
      </w:r>
      <w:r w:rsidR="00126C66" w:rsidRPr="00EC7AA4">
        <w:rPr>
          <w:rFonts w:ascii="Arial" w:hAnsi="Arial" w:cs="Arial"/>
          <w:sz w:val="20"/>
          <w:szCs w:val="20"/>
        </w:rPr>
        <w:t xml:space="preserve"> a </w:t>
      </w:r>
      <w:r w:rsidR="00FC201D" w:rsidRPr="00EC7AA4">
        <w:rPr>
          <w:rFonts w:ascii="Arial" w:hAnsi="Arial" w:cs="Arial"/>
          <w:sz w:val="20"/>
          <w:szCs w:val="20"/>
        </w:rPr>
        <w:t xml:space="preserve">state constitutional </w:t>
      </w:r>
      <w:r w:rsidR="00126C66" w:rsidRPr="00EC7AA4">
        <w:rPr>
          <w:rFonts w:ascii="Arial" w:hAnsi="Arial" w:cs="Arial"/>
          <w:sz w:val="20"/>
          <w:szCs w:val="20"/>
        </w:rPr>
        <w:t xml:space="preserve">right to privacy. </w:t>
      </w:r>
      <w:r w:rsidR="00EC7AA4" w:rsidRPr="00EC7AA4">
        <w:rPr>
          <w:rFonts w:ascii="Arial" w:hAnsi="Arial" w:cs="Arial"/>
          <w:sz w:val="20"/>
          <w:szCs w:val="20"/>
        </w:rPr>
        <w:t xml:space="preserve">A child’s sexual orientation is considered confidential.  A school may not </w:t>
      </w:r>
      <w:r w:rsidR="00126C66" w:rsidRPr="00EC7AA4">
        <w:rPr>
          <w:rFonts w:ascii="Arial" w:hAnsi="Arial" w:cs="Arial"/>
          <w:sz w:val="20"/>
          <w:szCs w:val="20"/>
        </w:rPr>
        <w:t>reve</w:t>
      </w:r>
      <w:r w:rsidR="00EC7AA4" w:rsidRPr="00EC7AA4">
        <w:rPr>
          <w:rFonts w:ascii="Arial" w:hAnsi="Arial" w:cs="Arial"/>
          <w:sz w:val="20"/>
          <w:szCs w:val="20"/>
        </w:rPr>
        <w:t>al to parents or other inquiring parties</w:t>
      </w:r>
      <w:r w:rsidR="00126C66" w:rsidRPr="00EC7AA4">
        <w:rPr>
          <w:rFonts w:ascii="Arial" w:hAnsi="Arial" w:cs="Arial"/>
          <w:sz w:val="20"/>
          <w:szCs w:val="20"/>
        </w:rPr>
        <w:t xml:space="preserve"> that a student is, or suspected to be, gay, lesbian, bisexual, or transgender. This has far reaching significance. If a student is caught engaging in </w:t>
      </w:r>
      <w:r w:rsidR="00D36468" w:rsidRPr="00EC7AA4">
        <w:rPr>
          <w:rFonts w:ascii="Arial" w:hAnsi="Arial" w:cs="Arial"/>
          <w:sz w:val="20"/>
          <w:szCs w:val="20"/>
        </w:rPr>
        <w:t xml:space="preserve">sexual </w:t>
      </w:r>
      <w:r w:rsidR="00126C66" w:rsidRPr="00EC7AA4">
        <w:rPr>
          <w:rFonts w:ascii="Arial" w:hAnsi="Arial" w:cs="Arial"/>
          <w:sz w:val="20"/>
          <w:szCs w:val="20"/>
        </w:rPr>
        <w:t>acti</w:t>
      </w:r>
      <w:r w:rsidR="00EC7AA4" w:rsidRPr="00EC7AA4">
        <w:rPr>
          <w:rFonts w:ascii="Arial" w:hAnsi="Arial" w:cs="Arial"/>
          <w:sz w:val="20"/>
          <w:szCs w:val="20"/>
        </w:rPr>
        <w:t>vity on campus, the school may not</w:t>
      </w:r>
      <w:r w:rsidR="00126C66" w:rsidRPr="00EC7AA4">
        <w:rPr>
          <w:rFonts w:ascii="Arial" w:hAnsi="Arial" w:cs="Arial"/>
          <w:sz w:val="20"/>
          <w:szCs w:val="20"/>
        </w:rPr>
        <w:t xml:space="preserve"> reveal the name or gender of the other party. To do so would violate the rights of both students. </w:t>
      </w:r>
    </w:p>
    <w:p w:rsidR="00AE1016" w:rsidRPr="00EC7AA4" w:rsidRDefault="00AE1016" w:rsidP="00927146">
      <w:pPr>
        <w:spacing w:before="120" w:after="120"/>
        <w:jc w:val="both"/>
        <w:rPr>
          <w:rFonts w:ascii="Arial" w:hAnsi="Arial" w:cs="Arial"/>
          <w:sz w:val="20"/>
          <w:szCs w:val="20"/>
        </w:rPr>
      </w:pPr>
      <w:r w:rsidRPr="00EC7AA4">
        <w:rPr>
          <w:rFonts w:ascii="Arial" w:hAnsi="Arial" w:cs="Arial"/>
          <w:b/>
          <w:sz w:val="20"/>
          <w:szCs w:val="20"/>
          <w:u w:val="single"/>
        </w:rPr>
        <w:t>Transgender students</w:t>
      </w:r>
      <w:r w:rsidR="009227F4" w:rsidRPr="00EC7AA4">
        <w:rPr>
          <w:rFonts w:ascii="Arial" w:hAnsi="Arial" w:cs="Arial"/>
          <w:b/>
          <w:sz w:val="20"/>
          <w:szCs w:val="20"/>
          <w:u w:val="single"/>
        </w:rPr>
        <w:t xml:space="preserve"> </w:t>
      </w:r>
      <w:r w:rsidR="009D37A9" w:rsidRPr="00EC7AA4">
        <w:rPr>
          <w:rFonts w:ascii="Arial" w:hAnsi="Arial" w:cs="Arial"/>
          <w:b/>
          <w:sz w:val="20"/>
          <w:szCs w:val="20"/>
          <w:u w:val="single"/>
        </w:rPr>
        <w:t>may</w:t>
      </w:r>
      <w:r w:rsidRPr="00EC7AA4">
        <w:rPr>
          <w:rFonts w:ascii="Arial" w:hAnsi="Arial" w:cs="Arial"/>
          <w:b/>
          <w:sz w:val="20"/>
          <w:szCs w:val="20"/>
          <w:u w:val="single"/>
        </w:rPr>
        <w:t xml:space="preserve"> express themselves</w:t>
      </w:r>
      <w:r w:rsidR="007E74CC" w:rsidRPr="00EC7AA4">
        <w:rPr>
          <w:rFonts w:ascii="Arial" w:hAnsi="Arial" w:cs="Arial"/>
          <w:b/>
          <w:sz w:val="20"/>
          <w:szCs w:val="20"/>
          <w:u w:val="single"/>
        </w:rPr>
        <w:t xml:space="preserve"> openly in the</w:t>
      </w:r>
      <w:r w:rsidR="00EC6865">
        <w:rPr>
          <w:rFonts w:ascii="Arial" w:hAnsi="Arial" w:cs="Arial"/>
          <w:b/>
          <w:sz w:val="20"/>
          <w:szCs w:val="20"/>
          <w:u w:val="single"/>
        </w:rPr>
        <w:t xml:space="preserve"> </w:t>
      </w:r>
      <w:r w:rsidRPr="00EC7AA4">
        <w:rPr>
          <w:rFonts w:ascii="Arial" w:hAnsi="Arial" w:cs="Arial"/>
          <w:b/>
          <w:sz w:val="20"/>
          <w:szCs w:val="20"/>
          <w:u w:val="single"/>
        </w:rPr>
        <w:t>gender</w:t>
      </w:r>
      <w:r w:rsidR="007E74CC" w:rsidRPr="00EC7AA4">
        <w:rPr>
          <w:rFonts w:ascii="Arial" w:hAnsi="Arial" w:cs="Arial"/>
          <w:b/>
          <w:sz w:val="20"/>
          <w:szCs w:val="20"/>
          <w:u w:val="single"/>
        </w:rPr>
        <w:t xml:space="preserve"> by which they identify</w:t>
      </w:r>
      <w:r w:rsidR="00553510" w:rsidRPr="00EC7AA4">
        <w:rPr>
          <w:rFonts w:ascii="Arial" w:hAnsi="Arial" w:cs="Arial"/>
          <w:b/>
          <w:sz w:val="20"/>
          <w:szCs w:val="20"/>
        </w:rPr>
        <w:t>:</w:t>
      </w:r>
      <w:r w:rsidR="00EC6865">
        <w:rPr>
          <w:rFonts w:ascii="Arial" w:hAnsi="Arial" w:cs="Arial"/>
          <w:sz w:val="20"/>
          <w:szCs w:val="20"/>
        </w:rPr>
        <w:t xml:space="preserve"> Students</w:t>
      </w:r>
      <w:r w:rsidRPr="00EC7AA4">
        <w:rPr>
          <w:rFonts w:ascii="Arial" w:hAnsi="Arial" w:cs="Arial"/>
          <w:sz w:val="20"/>
          <w:szCs w:val="20"/>
        </w:rPr>
        <w:t xml:space="preserve"> should be ca</w:t>
      </w:r>
      <w:r w:rsidR="007E74CC" w:rsidRPr="00EC7AA4">
        <w:rPr>
          <w:rFonts w:ascii="Arial" w:hAnsi="Arial" w:cs="Arial"/>
          <w:sz w:val="20"/>
          <w:szCs w:val="20"/>
        </w:rPr>
        <w:t>lled by the gender and</w:t>
      </w:r>
      <w:r w:rsidRPr="00EC7AA4">
        <w:rPr>
          <w:rFonts w:ascii="Arial" w:hAnsi="Arial" w:cs="Arial"/>
          <w:sz w:val="20"/>
          <w:szCs w:val="20"/>
        </w:rPr>
        <w:t xml:space="preserve"> </w:t>
      </w:r>
      <w:r w:rsidR="009227F4" w:rsidRPr="00EC7AA4">
        <w:rPr>
          <w:rFonts w:ascii="Arial" w:hAnsi="Arial" w:cs="Arial"/>
          <w:sz w:val="20"/>
          <w:szCs w:val="20"/>
        </w:rPr>
        <w:t xml:space="preserve">preferred </w:t>
      </w:r>
      <w:r w:rsidRPr="00EC7AA4">
        <w:rPr>
          <w:rFonts w:ascii="Arial" w:hAnsi="Arial" w:cs="Arial"/>
          <w:sz w:val="20"/>
          <w:szCs w:val="20"/>
        </w:rPr>
        <w:t xml:space="preserve">name of choice.  Schools are required to accommodate these students’ restroom and locker room needs.  Parent permission </w:t>
      </w:r>
      <w:r w:rsidR="00927146" w:rsidRPr="00EC7AA4">
        <w:rPr>
          <w:rFonts w:ascii="Arial" w:hAnsi="Arial" w:cs="Arial"/>
          <w:sz w:val="20"/>
          <w:szCs w:val="20"/>
        </w:rPr>
        <w:t xml:space="preserve">or knowledge is not required.  </w:t>
      </w:r>
    </w:p>
    <w:p w:rsidR="009D37A9" w:rsidRPr="00EC7AA4" w:rsidRDefault="00553510" w:rsidP="00927146">
      <w:pPr>
        <w:spacing w:before="120" w:after="120"/>
        <w:jc w:val="both"/>
        <w:rPr>
          <w:rFonts w:ascii="Arial" w:hAnsi="Arial" w:cs="Arial"/>
          <w:sz w:val="20"/>
          <w:szCs w:val="20"/>
        </w:rPr>
      </w:pPr>
      <w:r w:rsidRPr="00EC7AA4">
        <w:rPr>
          <w:rFonts w:ascii="Arial" w:hAnsi="Arial" w:cs="Arial"/>
          <w:b/>
          <w:sz w:val="20"/>
          <w:szCs w:val="20"/>
          <w:u w:val="single"/>
        </w:rPr>
        <w:t>Student Freedom of Expression</w:t>
      </w:r>
      <w:r w:rsidRPr="00EC7AA4">
        <w:rPr>
          <w:rFonts w:ascii="Arial" w:hAnsi="Arial" w:cs="Arial"/>
          <w:b/>
          <w:sz w:val="20"/>
          <w:szCs w:val="20"/>
        </w:rPr>
        <w:t>:</w:t>
      </w:r>
      <w:r w:rsidRPr="00EC7AA4">
        <w:rPr>
          <w:rFonts w:ascii="Arial" w:hAnsi="Arial" w:cs="Arial"/>
          <w:sz w:val="20"/>
          <w:szCs w:val="20"/>
        </w:rPr>
        <w:t xml:space="preserve"> </w:t>
      </w:r>
      <w:r w:rsidR="00AE1016" w:rsidRPr="00EC7AA4">
        <w:rPr>
          <w:rFonts w:ascii="Arial" w:hAnsi="Arial" w:cs="Arial"/>
          <w:sz w:val="20"/>
          <w:szCs w:val="20"/>
        </w:rPr>
        <w:t xml:space="preserve">LGBT students are free to wear symbols of pride and declare their </w:t>
      </w:r>
      <w:r w:rsidR="007E74CC" w:rsidRPr="00EC7AA4">
        <w:rPr>
          <w:rFonts w:ascii="Arial" w:hAnsi="Arial" w:cs="Arial"/>
          <w:sz w:val="20"/>
          <w:szCs w:val="20"/>
        </w:rPr>
        <w:t>sexual orientation</w:t>
      </w:r>
      <w:r w:rsidR="009227F4" w:rsidRPr="00EC7AA4">
        <w:rPr>
          <w:rFonts w:ascii="Arial" w:hAnsi="Arial" w:cs="Arial"/>
          <w:sz w:val="20"/>
          <w:szCs w:val="20"/>
        </w:rPr>
        <w:t>/</w:t>
      </w:r>
      <w:r w:rsidR="007E74CC" w:rsidRPr="00EC7AA4">
        <w:rPr>
          <w:rFonts w:ascii="Arial" w:hAnsi="Arial" w:cs="Arial"/>
          <w:sz w:val="20"/>
          <w:szCs w:val="20"/>
        </w:rPr>
        <w:t xml:space="preserve"> and gender </w:t>
      </w:r>
      <w:r w:rsidR="00AE1016" w:rsidRPr="00EC7AA4">
        <w:rPr>
          <w:rFonts w:ascii="Arial" w:hAnsi="Arial" w:cs="Arial"/>
          <w:sz w:val="20"/>
          <w:szCs w:val="20"/>
        </w:rPr>
        <w:t xml:space="preserve">identity.  </w:t>
      </w:r>
      <w:r w:rsidR="009D37A9" w:rsidRPr="00EC7AA4">
        <w:rPr>
          <w:rFonts w:ascii="Arial" w:hAnsi="Arial" w:cs="Arial"/>
          <w:sz w:val="20"/>
          <w:szCs w:val="20"/>
        </w:rPr>
        <w:t xml:space="preserve">LGBT youth may form clubs </w:t>
      </w:r>
      <w:r w:rsidR="00EC7AA4" w:rsidRPr="00EC7AA4">
        <w:rPr>
          <w:rFonts w:ascii="Arial" w:hAnsi="Arial" w:cs="Arial"/>
          <w:sz w:val="20"/>
          <w:szCs w:val="20"/>
        </w:rPr>
        <w:t>under the same guidelines as all other clubs on campus. Paren</w:t>
      </w:r>
      <w:r w:rsidR="00EC6865">
        <w:rPr>
          <w:rFonts w:ascii="Arial" w:hAnsi="Arial" w:cs="Arial"/>
          <w:sz w:val="20"/>
          <w:szCs w:val="20"/>
        </w:rPr>
        <w:t>t notification or permission is</w:t>
      </w:r>
      <w:r w:rsidR="00EC7AA4" w:rsidRPr="00EC7AA4">
        <w:rPr>
          <w:rFonts w:ascii="Arial" w:hAnsi="Arial" w:cs="Arial"/>
          <w:sz w:val="20"/>
          <w:szCs w:val="20"/>
        </w:rPr>
        <w:t xml:space="preserve"> not required.  </w:t>
      </w:r>
      <w:r w:rsidR="009D37A9" w:rsidRPr="00EC7AA4">
        <w:rPr>
          <w:rFonts w:ascii="Arial" w:hAnsi="Arial" w:cs="Arial"/>
          <w:sz w:val="20"/>
          <w:szCs w:val="20"/>
        </w:rPr>
        <w:t xml:space="preserve">  </w:t>
      </w:r>
    </w:p>
    <w:p w:rsidR="009D37A9" w:rsidRPr="00EC7AA4" w:rsidRDefault="000308BA" w:rsidP="00927146">
      <w:pPr>
        <w:spacing w:before="120" w:after="120"/>
        <w:jc w:val="both"/>
        <w:rPr>
          <w:rFonts w:ascii="Arial" w:hAnsi="Arial" w:cs="Arial"/>
          <w:sz w:val="20"/>
          <w:szCs w:val="20"/>
        </w:rPr>
      </w:pPr>
      <w:r w:rsidRPr="00EC7AA4">
        <w:rPr>
          <w:rFonts w:ascii="Arial" w:hAnsi="Arial" w:cs="Arial"/>
          <w:b/>
          <w:sz w:val="20"/>
          <w:szCs w:val="20"/>
          <w:u w:val="single"/>
        </w:rPr>
        <w:t>Bias-Motivated I</w:t>
      </w:r>
      <w:r w:rsidR="009D37A9" w:rsidRPr="00EC7AA4">
        <w:rPr>
          <w:rFonts w:ascii="Arial" w:hAnsi="Arial" w:cs="Arial"/>
          <w:b/>
          <w:sz w:val="20"/>
          <w:szCs w:val="20"/>
          <w:u w:val="single"/>
        </w:rPr>
        <w:t>ncidents</w:t>
      </w:r>
      <w:r w:rsidRPr="00EC7AA4">
        <w:rPr>
          <w:rFonts w:ascii="Arial" w:hAnsi="Arial" w:cs="Arial"/>
          <w:b/>
          <w:sz w:val="20"/>
          <w:szCs w:val="20"/>
          <w:u w:val="single"/>
        </w:rPr>
        <w:t xml:space="preserve"> Based on Sexual Orientation or Gender Identity</w:t>
      </w:r>
      <w:r w:rsidR="00553510" w:rsidRPr="00EC7AA4">
        <w:rPr>
          <w:rFonts w:ascii="Arial" w:hAnsi="Arial" w:cs="Arial"/>
          <w:b/>
          <w:sz w:val="20"/>
          <w:szCs w:val="20"/>
        </w:rPr>
        <w:t>:</w:t>
      </w:r>
      <w:r w:rsidR="00EC7AA4" w:rsidRPr="00EC7AA4">
        <w:rPr>
          <w:rFonts w:ascii="Arial" w:hAnsi="Arial" w:cs="Arial"/>
          <w:sz w:val="20"/>
          <w:szCs w:val="20"/>
        </w:rPr>
        <w:t xml:space="preserve">  Schools are required</w:t>
      </w:r>
      <w:r w:rsidR="009D37A9" w:rsidRPr="00EC7AA4">
        <w:rPr>
          <w:rFonts w:ascii="Arial" w:hAnsi="Arial" w:cs="Arial"/>
          <w:sz w:val="20"/>
          <w:szCs w:val="20"/>
        </w:rPr>
        <w:t xml:space="preserve"> to gather </w:t>
      </w:r>
      <w:r w:rsidR="00BD564A" w:rsidRPr="00EC7AA4">
        <w:rPr>
          <w:rFonts w:ascii="Arial" w:hAnsi="Arial" w:cs="Arial"/>
          <w:sz w:val="20"/>
          <w:szCs w:val="20"/>
        </w:rPr>
        <w:t xml:space="preserve">and report </w:t>
      </w:r>
      <w:r w:rsidR="009D37A9" w:rsidRPr="00EC7AA4">
        <w:rPr>
          <w:rFonts w:ascii="Arial" w:hAnsi="Arial" w:cs="Arial"/>
          <w:sz w:val="20"/>
          <w:szCs w:val="20"/>
        </w:rPr>
        <w:t xml:space="preserve">data and follow </w:t>
      </w:r>
      <w:r w:rsidR="009227F4" w:rsidRPr="00EC7AA4">
        <w:rPr>
          <w:rFonts w:ascii="Arial" w:hAnsi="Arial" w:cs="Arial"/>
          <w:sz w:val="20"/>
          <w:szCs w:val="20"/>
        </w:rPr>
        <w:t xml:space="preserve">specific </w:t>
      </w:r>
      <w:r w:rsidR="007E74CC" w:rsidRPr="00EC7AA4">
        <w:rPr>
          <w:rFonts w:ascii="Arial" w:hAnsi="Arial" w:cs="Arial"/>
          <w:sz w:val="20"/>
          <w:szCs w:val="20"/>
        </w:rPr>
        <w:t>D</w:t>
      </w:r>
      <w:r w:rsidR="009D37A9" w:rsidRPr="00EC7AA4">
        <w:rPr>
          <w:rFonts w:ascii="Arial" w:hAnsi="Arial" w:cs="Arial"/>
          <w:sz w:val="20"/>
          <w:szCs w:val="20"/>
        </w:rPr>
        <w:t>istrict procedures if it is suspected that a student is the target/perpetrator of bias-motivated incidents. Whether the incident meets</w:t>
      </w:r>
      <w:r w:rsidR="00927146" w:rsidRPr="00EC7AA4">
        <w:rPr>
          <w:rFonts w:ascii="Arial" w:hAnsi="Arial" w:cs="Arial"/>
          <w:sz w:val="20"/>
          <w:szCs w:val="20"/>
        </w:rPr>
        <w:t xml:space="preserve"> the criteria of a hate crime is</w:t>
      </w:r>
      <w:r w:rsidR="009D37A9" w:rsidRPr="00EC7AA4">
        <w:rPr>
          <w:rFonts w:ascii="Arial" w:hAnsi="Arial" w:cs="Arial"/>
          <w:sz w:val="20"/>
          <w:szCs w:val="20"/>
        </w:rPr>
        <w:t xml:space="preserve"> the determination of law enforcement personnel. </w:t>
      </w:r>
    </w:p>
    <w:p w:rsidR="000308BA" w:rsidRPr="005B72FB" w:rsidRDefault="000308BA" w:rsidP="00927146">
      <w:pPr>
        <w:spacing w:before="120" w:after="120"/>
        <w:jc w:val="both"/>
      </w:pPr>
    </w:p>
    <w:sectPr w:rsidR="000308BA" w:rsidRPr="005B72FB" w:rsidSect="00EC6865">
      <w:footerReference w:type="default" r:id="rId6"/>
      <w:pgSz w:w="12240" w:h="15840"/>
      <w:pgMar w:top="1152" w:right="1296" w:bottom="1152" w:left="1296"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1FEC" w:rsidRDefault="00561FEC">
      <w:r>
        <w:separator/>
      </w:r>
    </w:p>
  </w:endnote>
  <w:endnote w:type="continuationSeparator" w:id="1">
    <w:p w:rsidR="00561FEC" w:rsidRDefault="00561F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F75" w:rsidRPr="00E55DA5" w:rsidRDefault="00EC6865">
    <w:pPr>
      <w:pStyle w:val="Footer"/>
      <w:rPr>
        <w:sz w:val="16"/>
        <w:szCs w:val="16"/>
      </w:rPr>
    </w:pPr>
    <w:r>
      <w:rPr>
        <w:sz w:val="16"/>
        <w:szCs w:val="16"/>
      </w:rPr>
      <w:t>10.09</w:t>
    </w:r>
    <w:r w:rsidR="00CE5F75">
      <w:rPr>
        <w:sz w:val="16"/>
        <w:szCs w:val="16"/>
      </w:rPr>
      <w:t xml:space="preserve"> jc</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1FEC" w:rsidRDefault="00561FEC">
      <w:r>
        <w:separator/>
      </w:r>
    </w:p>
  </w:footnote>
  <w:footnote w:type="continuationSeparator" w:id="1">
    <w:p w:rsidR="00561FEC" w:rsidRDefault="00561FE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footnote w:id="0"/>
    <w:footnote w:id="1"/>
  </w:footnotePr>
  <w:endnotePr>
    <w:endnote w:id="0"/>
    <w:endnote w:id="1"/>
  </w:endnotePr>
  <w:compat/>
  <w:rsids>
    <w:rsidRoot w:val="002E2944"/>
    <w:rsid w:val="000308BA"/>
    <w:rsid w:val="00032A48"/>
    <w:rsid w:val="00064EC8"/>
    <w:rsid w:val="000F189C"/>
    <w:rsid w:val="000F232D"/>
    <w:rsid w:val="000F6281"/>
    <w:rsid w:val="00126C66"/>
    <w:rsid w:val="00180169"/>
    <w:rsid w:val="001A4746"/>
    <w:rsid w:val="00244839"/>
    <w:rsid w:val="002643C4"/>
    <w:rsid w:val="002C3A3B"/>
    <w:rsid w:val="002E2944"/>
    <w:rsid w:val="003B1116"/>
    <w:rsid w:val="003B67B2"/>
    <w:rsid w:val="003D47F5"/>
    <w:rsid w:val="003E2053"/>
    <w:rsid w:val="004D1487"/>
    <w:rsid w:val="00507BCA"/>
    <w:rsid w:val="00544084"/>
    <w:rsid w:val="00553510"/>
    <w:rsid w:val="00561FEC"/>
    <w:rsid w:val="00587E06"/>
    <w:rsid w:val="005B72FB"/>
    <w:rsid w:val="0061772D"/>
    <w:rsid w:val="00726D45"/>
    <w:rsid w:val="00764163"/>
    <w:rsid w:val="007A0101"/>
    <w:rsid w:val="007A0FDF"/>
    <w:rsid w:val="007E3C3A"/>
    <w:rsid w:val="007E74CC"/>
    <w:rsid w:val="007F4826"/>
    <w:rsid w:val="008051D4"/>
    <w:rsid w:val="00805D73"/>
    <w:rsid w:val="00820909"/>
    <w:rsid w:val="0086645C"/>
    <w:rsid w:val="009227F4"/>
    <w:rsid w:val="00927146"/>
    <w:rsid w:val="009A47C0"/>
    <w:rsid w:val="009D37A9"/>
    <w:rsid w:val="00AE1016"/>
    <w:rsid w:val="00B6092F"/>
    <w:rsid w:val="00BD564A"/>
    <w:rsid w:val="00C54E08"/>
    <w:rsid w:val="00C84DE6"/>
    <w:rsid w:val="00CE5F75"/>
    <w:rsid w:val="00D36468"/>
    <w:rsid w:val="00D938E0"/>
    <w:rsid w:val="00DA5B4B"/>
    <w:rsid w:val="00E14CCD"/>
    <w:rsid w:val="00E55DA5"/>
    <w:rsid w:val="00E71756"/>
    <w:rsid w:val="00E81B9F"/>
    <w:rsid w:val="00EA4D8F"/>
    <w:rsid w:val="00EC5096"/>
    <w:rsid w:val="00EC6865"/>
    <w:rsid w:val="00EC7AA4"/>
    <w:rsid w:val="00F37BB3"/>
    <w:rsid w:val="00F9685A"/>
    <w:rsid w:val="00FC201D"/>
    <w:rsid w:val="00FE1B1C"/>
    <w:rsid w:val="00FF28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autoRedefine/>
    <w:qFormat/>
    <w:rsid w:val="00507BCA"/>
    <w:pPr>
      <w:keepNext/>
      <w:tabs>
        <w:tab w:val="left" w:pos="360"/>
      </w:tabs>
      <w:spacing w:before="120" w:line="480" w:lineRule="auto"/>
      <w:jc w:val="center"/>
      <w:outlineLvl w:val="0"/>
    </w:pPr>
    <w:rPr>
      <w:b/>
      <w:bCs/>
      <w:sz w:val="28"/>
    </w:rPr>
  </w:style>
  <w:style w:type="paragraph" w:styleId="Heading2">
    <w:name w:val="heading 2"/>
    <w:next w:val="Normal"/>
    <w:autoRedefine/>
    <w:qFormat/>
    <w:rsid w:val="00244839"/>
    <w:pPr>
      <w:keepNext/>
      <w:spacing w:before="120" w:line="480" w:lineRule="auto"/>
      <w:outlineLvl w:val="1"/>
    </w:pPr>
    <w:rPr>
      <w:b/>
      <w:bCs/>
      <w:sz w:val="24"/>
      <w:szCs w:val="24"/>
    </w:rPr>
  </w:style>
  <w:style w:type="paragraph" w:styleId="Heading3">
    <w:name w:val="heading 3"/>
    <w:aliases w:val="Table"/>
    <w:basedOn w:val="Normal"/>
    <w:next w:val="Normal"/>
    <w:autoRedefine/>
    <w:qFormat/>
    <w:rsid w:val="00E14CCD"/>
    <w:pPr>
      <w:keepNext/>
      <w:keepLines/>
      <w:spacing w:before="120" w:after="120"/>
      <w:outlineLvl w:val="2"/>
    </w:pPr>
    <w:rPr>
      <w:rFonts w:ascii="Arial" w:hAnsi="Arial" w:cs="Arial"/>
      <w:b/>
      <w:color w:val="000000"/>
      <w:sz w:val="20"/>
      <w:szCs w:val="1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chapter">
    <w:name w:val="chapter"/>
    <w:next w:val="BodyTextFirstIndent"/>
    <w:autoRedefine/>
    <w:rsid w:val="00EA4D8F"/>
    <w:pPr>
      <w:jc w:val="center"/>
    </w:pPr>
    <w:rPr>
      <w:b/>
      <w:sz w:val="32"/>
      <w:szCs w:val="32"/>
      <w:u w:val="single"/>
    </w:rPr>
  </w:style>
  <w:style w:type="paragraph" w:styleId="BodyText">
    <w:name w:val="Body Text"/>
    <w:basedOn w:val="Normal"/>
    <w:rsid w:val="00EA4D8F"/>
    <w:pPr>
      <w:spacing w:after="120"/>
    </w:pPr>
  </w:style>
  <w:style w:type="paragraph" w:styleId="BodyTextFirstIndent">
    <w:name w:val="Body Text First Indent"/>
    <w:basedOn w:val="BodyText"/>
    <w:rsid w:val="00EA4D8F"/>
    <w:pPr>
      <w:ind w:firstLine="210"/>
    </w:pPr>
  </w:style>
  <w:style w:type="paragraph" w:customStyle="1" w:styleId="headings">
    <w:name w:val="headings"/>
    <w:autoRedefine/>
    <w:rsid w:val="00EA4D8F"/>
    <w:pPr>
      <w:jc w:val="center"/>
    </w:pPr>
    <w:rPr>
      <w:b/>
      <w:sz w:val="28"/>
      <w:szCs w:val="28"/>
    </w:rPr>
  </w:style>
  <w:style w:type="paragraph" w:customStyle="1" w:styleId="subheading">
    <w:name w:val="subheading"/>
    <w:autoRedefine/>
    <w:rsid w:val="00EA4D8F"/>
    <w:rPr>
      <w:b/>
      <w:sz w:val="24"/>
      <w:szCs w:val="24"/>
    </w:rPr>
  </w:style>
  <w:style w:type="paragraph" w:customStyle="1" w:styleId="Chapter0">
    <w:name w:val="Chapter"/>
    <w:autoRedefine/>
    <w:rsid w:val="00EA4D8F"/>
    <w:pPr>
      <w:keepNext/>
      <w:spacing w:line="480" w:lineRule="auto"/>
      <w:jc w:val="center"/>
    </w:pPr>
    <w:rPr>
      <w:b/>
      <w:bCs/>
      <w:sz w:val="32"/>
      <w:szCs w:val="32"/>
      <w:u w:val="single"/>
    </w:rPr>
  </w:style>
  <w:style w:type="paragraph" w:customStyle="1" w:styleId="Heading">
    <w:name w:val="Heading"/>
    <w:autoRedefine/>
    <w:rsid w:val="00EA4D8F"/>
    <w:pPr>
      <w:jc w:val="center"/>
    </w:pPr>
    <w:rPr>
      <w:b/>
      <w:bCs/>
      <w:sz w:val="28"/>
      <w:szCs w:val="28"/>
    </w:rPr>
  </w:style>
  <w:style w:type="paragraph" w:styleId="Header">
    <w:name w:val="header"/>
    <w:basedOn w:val="Normal"/>
    <w:autoRedefine/>
    <w:rsid w:val="00507BCA"/>
    <w:pPr>
      <w:widowControl w:val="0"/>
      <w:tabs>
        <w:tab w:val="center" w:pos="4320"/>
        <w:tab w:val="right" w:pos="8640"/>
      </w:tabs>
    </w:pPr>
  </w:style>
  <w:style w:type="paragraph" w:styleId="BalloonText">
    <w:name w:val="Balloon Text"/>
    <w:basedOn w:val="Normal"/>
    <w:semiHidden/>
    <w:rsid w:val="00B6092F"/>
    <w:rPr>
      <w:rFonts w:ascii="Tahoma" w:hAnsi="Tahoma" w:cs="Tahoma"/>
      <w:sz w:val="16"/>
      <w:szCs w:val="16"/>
    </w:rPr>
  </w:style>
  <w:style w:type="paragraph" w:styleId="Footer">
    <w:name w:val="footer"/>
    <w:basedOn w:val="Normal"/>
    <w:rsid w:val="000F189C"/>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716</Words>
  <Characters>3829</Characters>
  <Application>Microsoft Office Word</Application>
  <DocSecurity>0</DocSecurity>
  <Lines>59</Lines>
  <Paragraphs>10</Paragraphs>
  <ScaleCrop>false</ScaleCrop>
  <HeadingPairs>
    <vt:vector size="2" baseType="variant">
      <vt:variant>
        <vt:lpstr>Title</vt:lpstr>
      </vt:variant>
      <vt:variant>
        <vt:i4>1</vt:i4>
      </vt:variant>
    </vt:vector>
  </HeadingPairs>
  <TitlesOfParts>
    <vt:vector size="1" baseType="lpstr">
      <vt:lpstr>GLIDE</vt:lpstr>
    </vt:vector>
  </TitlesOfParts>
  <Company/>
  <LinksUpToDate>false</LinksUpToDate>
  <CharactersWithSpaces>4535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GLIDE</dc:title>
  <dc:creator>Judy</dc:creator>
  <cp:lastModifiedBy>Ben Schock</cp:lastModifiedBy>
  <cp:revision>2</cp:revision>
  <cp:lastPrinted>2009-10-18T22:06:00Z</cp:lastPrinted>
  <dcterms:created xsi:type="dcterms:W3CDTF">2011-07-08T16:06:00Z</dcterms:created>
  <dcterms:modified xsi:type="dcterms:W3CDTF">2011-07-08T16:06:00Z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